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C84F38" w:rsidR="00F110CD" w:rsidP="00F110CD" w:rsidRDefault="00F110CD" w14:paraId="35B04861" w14:textId="2F80FBD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name="_Hlk37418177" w:id="0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</w:t>
      </w:r>
      <w:r w:rsidR="006A60AC">
        <w:rPr>
          <w:bCs/>
          <w:noProof w:val="0"/>
          <w:sz w:val="24"/>
          <w:szCs w:val="24"/>
        </w:rPr>
        <w:t>10</w:t>
      </w:r>
      <w:r w:rsidR="001348FE">
        <w:rPr>
          <w:bCs/>
          <w:noProof w:val="0"/>
          <w:sz w:val="24"/>
          <w:szCs w:val="24"/>
        </w:rPr>
        <w:tab/>
      </w:r>
      <w:r w:rsidRPr="00783159" w:rsidR="00783159">
        <w:rPr>
          <w:bCs/>
          <w:noProof w:val="0"/>
          <w:sz w:val="24"/>
          <w:szCs w:val="24"/>
        </w:rPr>
        <w:t>R1-2207021</w:t>
      </w:r>
    </w:p>
    <w:p w:rsidR="00CA26CE" w:rsidP="00CA26CE" w:rsidRDefault="006A60AC" w14:paraId="30E02940" w14:textId="0C2B3AB9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Toulouse, France, 22</w:t>
      </w:r>
      <w:r w:rsidR="00500573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 w:rsidR="001B38EE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>6</w:t>
      </w:r>
      <w:r w:rsidR="00D64A2A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August</w:t>
      </w:r>
      <w:r w:rsidRPr="002778BD" w:rsidR="002778BD">
        <w:rPr>
          <w:bCs/>
          <w:noProof w:val="0"/>
          <w:sz w:val="24"/>
          <w:szCs w:val="24"/>
        </w:rPr>
        <w:t>,</w:t>
      </w:r>
      <w:proofErr w:type="gramEnd"/>
      <w:r w:rsidRPr="002778BD" w:rsidR="002778BD">
        <w:rPr>
          <w:bCs/>
          <w:noProof w:val="0"/>
          <w:sz w:val="24"/>
          <w:szCs w:val="24"/>
        </w:rPr>
        <w:t xml:space="preserve"> 202</w:t>
      </w:r>
      <w:r w:rsidR="001B38EE">
        <w:rPr>
          <w:bCs/>
          <w:noProof w:val="0"/>
          <w:sz w:val="24"/>
          <w:szCs w:val="24"/>
        </w:rPr>
        <w:t>2</w:t>
      </w:r>
    </w:p>
    <w:bookmarkEnd w:id="0"/>
    <w:p w:rsidRPr="00850D96" w:rsidR="00850D96" w:rsidP="00CA26CE" w:rsidRDefault="00850D96" w14:paraId="2CFE1919" w14:textId="77777777">
      <w:pPr>
        <w:pStyle w:val="Header"/>
        <w:rPr>
          <w:bCs/>
          <w:noProof w:val="0"/>
          <w:sz w:val="24"/>
          <w:lang w:val="en-GB" w:eastAsia="ja-JP"/>
        </w:rPr>
      </w:pPr>
    </w:p>
    <w:p w:rsidRPr="001E5981" w:rsidR="0034111C" w:rsidP="16512788" w:rsidRDefault="0034111C" w14:paraId="30E02941" w14:textId="511C1BAA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607FF">
        <w:rPr>
          <w:rFonts w:cs="Arial"/>
          <w:b/>
          <w:bCs/>
          <w:sz w:val="24"/>
          <w:szCs w:val="24"/>
        </w:rPr>
        <w:t>8</w:t>
      </w:r>
      <w:r w:rsidR="001F201D">
        <w:rPr>
          <w:rFonts w:cs="Arial"/>
          <w:b/>
          <w:bCs/>
          <w:sz w:val="24"/>
          <w:szCs w:val="24"/>
        </w:rPr>
        <w:t>.</w:t>
      </w:r>
      <w:r w:rsidR="000607FF">
        <w:rPr>
          <w:rFonts w:cs="Arial"/>
          <w:b/>
          <w:bCs/>
          <w:sz w:val="24"/>
          <w:szCs w:val="24"/>
        </w:rPr>
        <w:t>2</w:t>
      </w:r>
    </w:p>
    <w:p w:rsidRPr="001E5981" w:rsidR="00E128F2" w:rsidP="16512788" w:rsidRDefault="0034111C" w14:paraId="30E02942" w14:textId="11CBDC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3E61DC49" w:rsidR="00013455">
        <w:rPr>
          <w:rFonts w:ascii="Arial" w:hAnsi="Arial" w:cs="Arial"/>
          <w:b/>
          <w:bCs/>
          <w:sz w:val="24"/>
          <w:szCs w:val="24"/>
        </w:rPr>
        <w:t xml:space="preserve">Nokia, </w:t>
      </w:r>
      <w:r w:rsidRPr="3E61DC49" w:rsidR="00E67802">
        <w:rPr>
          <w:rFonts w:ascii="Arial" w:hAnsi="Arial" w:cs="Arial"/>
          <w:b/>
          <w:bCs/>
          <w:sz w:val="24"/>
          <w:szCs w:val="24"/>
        </w:rPr>
        <w:t>Nokia</w:t>
      </w:r>
      <w:r w:rsidRPr="3E61DC49" w:rsidR="00013455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:rsidRPr="0016316A" w:rsidR="0034111C" w:rsidP="16512788" w:rsidRDefault="0034111C" w14:paraId="30E02943" w14:textId="3D71BCF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Pr="6CCBD253" w:rsidR="00225CED">
        <w:rPr>
          <w:rFonts w:ascii="Arial" w:hAnsi="Arial" w:cs="Arial"/>
          <w:b/>
          <w:sz w:val="24"/>
          <w:szCs w:val="24"/>
        </w:rPr>
        <w:t xml:space="preserve">On UE </w:t>
      </w:r>
      <w:r w:rsidR="009F1F9C">
        <w:rPr>
          <w:rFonts w:ascii="Arial" w:hAnsi="Arial" w:cs="Arial"/>
          <w:b/>
          <w:bCs/>
          <w:sz w:val="24"/>
          <w:szCs w:val="24"/>
        </w:rPr>
        <w:t>capability parameters</w:t>
      </w:r>
      <w:r w:rsidRPr="6CCBD253" w:rsidR="00225CED">
        <w:rPr>
          <w:rFonts w:ascii="Arial" w:hAnsi="Arial" w:cs="Arial"/>
          <w:b/>
          <w:sz w:val="24"/>
          <w:szCs w:val="24"/>
        </w:rPr>
        <w:t xml:space="preserve"> for CA with per-slot group monitoring </w:t>
      </w:r>
    </w:p>
    <w:p w:rsidRPr="0016316A" w:rsidR="0034111C" w:rsidP="16512788" w:rsidRDefault="0034111C" w14:paraId="30E02944" w14:textId="60B6B0C7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Pr="3E61DC49" w:rsid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:rsidR="00ED1327" w:rsidP="00ED1327" w:rsidRDefault="00EE7FA7" w14:paraId="7CF7938E" w14:textId="633C7172">
      <w:pPr>
        <w:pStyle w:val="Heading1"/>
      </w:pPr>
      <w:r w:rsidRPr="0016316A">
        <w:t>Introduction</w:t>
      </w:r>
    </w:p>
    <w:p w:rsidRPr="00056BDE" w:rsidR="00056BDE" w:rsidP="00056BDE" w:rsidRDefault="000607FF" w14:paraId="20D91522" w14:textId="45AC774B">
      <w:bookmarkStart w:name="_Hlk110510591" w:id="1"/>
      <w:r>
        <w:t xml:space="preserve">This paper relates to UE capability parameters for FR2-2 related to </w:t>
      </w:r>
      <w:r w:rsidRPr="066CD639">
        <w:rPr>
          <w:lang w:eastAsia="ja-JP"/>
        </w:rPr>
        <w:t>per-slot group monitoring for multiple serving cells</w:t>
      </w:r>
      <w:r>
        <w:t xml:space="preserve">. </w:t>
      </w:r>
      <w:bookmarkEnd w:id="1"/>
      <w:r>
        <w:t xml:space="preserve">The </w:t>
      </w:r>
      <w:r w:rsidR="00225CED">
        <w:t xml:space="preserve">previous </w:t>
      </w:r>
      <w:r>
        <w:t xml:space="preserve">agreement is </w:t>
      </w:r>
      <w:r w:rsidR="00225CED">
        <w:t>incomplete</w:t>
      </w:r>
      <w:r>
        <w:t xml:space="preserve"> and needs to be refined before implementing it in RRC specs. This issue is dis</w:t>
      </w:r>
      <w:r w:rsidR="68F5C910">
        <w:t xml:space="preserve">cussed also in </w:t>
      </w:r>
      <w:r w:rsidR="008B21F7">
        <w:t xml:space="preserve">our </w:t>
      </w:r>
      <w:r w:rsidR="5F0BB643">
        <w:t>compa</w:t>
      </w:r>
      <w:r w:rsidR="18EFB1AB">
        <w:t>nion paper (UE features)</w:t>
      </w:r>
      <w:r w:rsidR="001573B0">
        <w:t xml:space="preserve"> [2].</w:t>
      </w:r>
    </w:p>
    <w:p w:rsidR="00305297" w:rsidP="00A23DCA" w:rsidRDefault="007820D0" w14:paraId="71230483" w14:textId="72F9C930">
      <w:pPr>
        <w:pStyle w:val="Heading1"/>
      </w:pPr>
      <w:bookmarkStart w:name="_Hlk510705081" w:id="2"/>
      <w:r>
        <w:t>Discussion</w:t>
      </w:r>
    </w:p>
    <w:bookmarkEnd w:id="2"/>
    <w:p w:rsidR="000607FF" w:rsidP="000607FF" w:rsidRDefault="000607FF" w14:paraId="619858F8" w14:textId="00E09D4C">
      <w:pPr>
        <w:rPr>
          <w:lang w:eastAsia="ja-JP"/>
        </w:rPr>
      </w:pPr>
      <w:r>
        <w:rPr>
          <w:lang w:eastAsia="ja-JP"/>
        </w:rPr>
        <w:t>The following agreement was made in RAN1#109-e with respect to</w:t>
      </w:r>
      <w:r w:rsidR="00225CED">
        <w:rPr>
          <w:lang w:eastAsia="ja-JP"/>
        </w:rPr>
        <w:t xml:space="preserve"> PDCCH with per-slot group monitoring [1]</w:t>
      </w:r>
      <w:r>
        <w:rPr>
          <w:lang w:eastAsia="ja-JP"/>
        </w:rPr>
        <w:t xml:space="preserve">. The remaining </w:t>
      </w:r>
      <w:r w:rsidRPr="00225CED">
        <w:rPr>
          <w:highlight w:val="yellow"/>
          <w:lang w:eastAsia="ja-JP"/>
        </w:rPr>
        <w:t>open issue</w:t>
      </w:r>
      <w:r>
        <w:rPr>
          <w:lang w:eastAsia="ja-JP"/>
        </w:rPr>
        <w:t xml:space="preserve"> is the</w:t>
      </w:r>
      <w:r w:rsidR="00225CED">
        <w:rPr>
          <w:lang w:eastAsia="ja-JP"/>
        </w:rPr>
        <w:t xml:space="preserve"> value</w:t>
      </w:r>
      <w:r>
        <w:rPr>
          <w:lang w:eastAsia="ja-JP"/>
        </w:rPr>
        <w:t xml:space="preserve"> range </w:t>
      </w:r>
      <w:r w:rsidR="00225CED">
        <w:rPr>
          <w:lang w:eastAsia="ja-JP"/>
        </w:rPr>
        <w:t xml:space="preserve">for carrier aggregation </w:t>
      </w:r>
      <w:r w:rsidR="00F226D4">
        <w:rPr>
          <w:lang w:eastAsia="ja-JP"/>
        </w:rPr>
        <w:t xml:space="preserve">combinations </w:t>
      </w:r>
      <w:r w:rsidR="00225CED">
        <w:rPr>
          <w:lang w:eastAsia="ja-JP"/>
        </w:rPr>
        <w:t>according to</w:t>
      </w:r>
      <w:r>
        <w:rPr>
          <w:lang w:eastAsia="ja-JP"/>
        </w:rPr>
        <w:t xml:space="preserve"> Cases 4</w:t>
      </w:r>
      <w:r w:rsidR="00225CED">
        <w:rPr>
          <w:lang w:eastAsia="ja-JP"/>
        </w:rPr>
        <w:t>,</w:t>
      </w:r>
      <w:r>
        <w:rPr>
          <w:lang w:eastAsia="ja-JP"/>
        </w:rPr>
        <w:t>5</w:t>
      </w:r>
      <w:r w:rsidR="00225CED">
        <w:rPr>
          <w:lang w:eastAsia="ja-JP"/>
        </w:rPr>
        <w:t>,</w:t>
      </w:r>
      <w:r>
        <w:rPr>
          <w:lang w:eastAsia="ja-JP"/>
        </w:rPr>
        <w:t>6</w:t>
      </w:r>
      <w:r w:rsidR="00225CED">
        <w:rPr>
          <w:lang w:eastAsia="ja-JP"/>
        </w:rPr>
        <w:t>,</w:t>
      </w:r>
      <w:r>
        <w:rPr>
          <w:lang w:eastAsia="ja-JP"/>
        </w:rPr>
        <w:t xml:space="preserve">7. </w:t>
      </w:r>
    </w:p>
    <w:p w:rsidRPr="00AF0734" w:rsidR="000607FF" w:rsidP="000607FF" w:rsidRDefault="000607FF" w14:paraId="2B710557" w14:textId="77777777">
      <w:pPr>
        <w:spacing w:after="0"/>
        <w:rPr>
          <w:b/>
          <w:lang w:eastAsia="x-none"/>
        </w:rPr>
      </w:pPr>
      <w:r w:rsidRPr="00AF0734">
        <w:rPr>
          <w:rFonts w:eastAsia="Malgun Gothic"/>
          <w:b/>
          <w:highlight w:val="green"/>
          <w:lang w:eastAsia="zh-CN"/>
        </w:rPr>
        <w:t>Agreement</w:t>
      </w:r>
    </w:p>
    <w:p w:rsidRPr="000607FF" w:rsidR="000607FF" w:rsidP="000607FF" w:rsidRDefault="000607FF" w14:paraId="29E6B040" w14:textId="77777777">
      <w:pPr>
        <w:pStyle w:val="ListParagraph"/>
        <w:numPr>
          <w:ilvl w:val="0"/>
          <w:numId w:val="32"/>
        </w:numPr>
        <w:contextualSpacing w:val="0"/>
        <w:rPr>
          <w:sz w:val="20"/>
          <w:szCs w:val="20"/>
        </w:rPr>
      </w:pPr>
      <w:r w:rsidRPr="000607FF">
        <w:rPr>
          <w:sz w:val="20"/>
          <w:szCs w:val="20"/>
        </w:rPr>
        <w:t xml:space="preserve">For </w:t>
      </w:r>
      <w:proofErr w:type="spellStart"/>
      <w:r w:rsidRPr="000607FF">
        <w:rPr>
          <w:sz w:val="20"/>
          <w:szCs w:val="20"/>
        </w:rPr>
        <w:t>the</w:t>
      </w:r>
      <w:proofErr w:type="spellEnd"/>
      <w:r w:rsidRPr="000607FF">
        <w:rPr>
          <w:sz w:val="20"/>
          <w:szCs w:val="20"/>
        </w:rPr>
        <w:t xml:space="preserve"> UE </w:t>
      </w:r>
      <w:proofErr w:type="spellStart"/>
      <w:r w:rsidRPr="000607FF">
        <w:rPr>
          <w:sz w:val="20"/>
          <w:szCs w:val="20"/>
        </w:rPr>
        <w:t>capability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parameters</w:t>
      </w:r>
      <w:proofErr w:type="spellEnd"/>
      <w:r w:rsidRPr="000607FF">
        <w:rPr>
          <w:sz w:val="20"/>
          <w:szCs w:val="20"/>
        </w:rPr>
        <w:t xml:space="preserve"> for </w:t>
      </w:r>
      <w:proofErr w:type="spellStart"/>
      <w:r w:rsidRPr="000607FF">
        <w:rPr>
          <w:sz w:val="20"/>
          <w:szCs w:val="20"/>
        </w:rPr>
        <w:t>carrier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aggregation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according</w:t>
      </w:r>
      <w:proofErr w:type="spellEnd"/>
      <w:r w:rsidRPr="000607FF">
        <w:rPr>
          <w:sz w:val="20"/>
          <w:szCs w:val="20"/>
        </w:rPr>
        <w:t xml:space="preserve"> to </w:t>
      </w:r>
      <w:proofErr w:type="spellStart"/>
      <w:r w:rsidRPr="000607FF">
        <w:rPr>
          <w:sz w:val="20"/>
          <w:szCs w:val="20"/>
        </w:rPr>
        <w:t>Cases</w:t>
      </w:r>
      <w:proofErr w:type="spellEnd"/>
      <w:r w:rsidRPr="000607FF">
        <w:rPr>
          <w:sz w:val="20"/>
          <w:szCs w:val="20"/>
        </w:rPr>
        <w:t xml:space="preserve"> 4,5,6,7 </w:t>
      </w:r>
      <w:proofErr w:type="spellStart"/>
      <w:r w:rsidRPr="000607FF">
        <w:rPr>
          <w:sz w:val="20"/>
          <w:szCs w:val="20"/>
        </w:rPr>
        <w:t>agreed</w:t>
      </w:r>
      <w:proofErr w:type="spellEnd"/>
      <w:r w:rsidRPr="000607FF">
        <w:rPr>
          <w:sz w:val="20"/>
          <w:szCs w:val="20"/>
        </w:rPr>
        <w:t xml:space="preserve"> in RAN1#108e, </w:t>
      </w:r>
      <w:proofErr w:type="spellStart"/>
      <w:r w:rsidRPr="000607FF">
        <w:rPr>
          <w:sz w:val="20"/>
          <w:szCs w:val="20"/>
        </w:rPr>
        <w:t>support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the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following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value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ranges</w:t>
      </w:r>
      <w:proofErr w:type="spellEnd"/>
      <w:r w:rsidRPr="000607FF">
        <w:rPr>
          <w:sz w:val="20"/>
          <w:szCs w:val="20"/>
        </w:rPr>
        <w:t>:</w:t>
      </w:r>
    </w:p>
    <w:p w:rsidRPr="000607FF" w:rsidR="000607FF" w:rsidP="000607FF" w:rsidRDefault="000607FF" w14:paraId="12045255" w14:textId="77777777">
      <w:pPr>
        <w:numPr>
          <w:ilvl w:val="1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>Case 4: Capability on the number of CCs with Rel-17 monitoring capability only</w:t>
      </w:r>
    </w:p>
    <w:p w:rsidRPr="000607FF" w:rsidR="000607FF" w:rsidP="000607FF" w:rsidRDefault="000607FF" w14:paraId="4AD73A81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  <w:rPr>
          <w:rFonts w:ascii="Calibri" w:hAnsi="Calibri" w:cs="Calibri"/>
          <w:sz w:val="18"/>
          <w:szCs w:val="18"/>
          <w:lang w:eastAsia="zh-CN"/>
        </w:rPr>
      </w:pPr>
      <w:r w:rsidRPr="000607FF">
        <w:rPr>
          <w:sz w:val="18"/>
          <w:szCs w:val="18"/>
        </w:rPr>
        <w:t>Range of pdcch-BlindDetectionCA-R17: {</w:t>
      </w:r>
      <w:r w:rsidRPr="000607FF">
        <w:rPr>
          <w:sz w:val="18"/>
          <w:szCs w:val="18"/>
          <w:highlight w:val="yellow"/>
        </w:rPr>
        <w:t>[2 or 4]</w:t>
      </w:r>
      <w:r w:rsidRPr="000607FF">
        <w:rPr>
          <w:sz w:val="18"/>
          <w:szCs w:val="18"/>
        </w:rPr>
        <w:t>, …, 16}</w:t>
      </w:r>
    </w:p>
    <w:p w:rsidRPr="000607FF" w:rsidR="000607FF" w:rsidP="000607FF" w:rsidRDefault="000607FF" w14:paraId="3DEC4679" w14:textId="77777777">
      <w:pPr>
        <w:numPr>
          <w:ilvl w:val="1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>Case 5: Capability on the number of CCs with Rel-15 monitoring capability and Rel-17 monitoring capability on different serving cells</w:t>
      </w:r>
    </w:p>
    <w:p w:rsidRPr="000607FF" w:rsidR="000607FF" w:rsidP="000607FF" w:rsidRDefault="000607FF" w14:paraId="2C58611B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  <w:rPr>
          <w:rFonts w:ascii="Calibri" w:hAnsi="Calibri" w:cs="Calibri"/>
          <w:sz w:val="18"/>
          <w:szCs w:val="18"/>
        </w:rPr>
      </w:pPr>
      <w:r w:rsidRPr="000607FF">
        <w:rPr>
          <w:sz w:val="18"/>
          <w:szCs w:val="18"/>
        </w:rPr>
        <w:t>pdcch-BlindDetectionCA-R15 for Rel-15 PDCCH monitoring capability</w:t>
      </w:r>
    </w:p>
    <w:p w:rsidRPr="000607FF" w:rsidR="000607FF" w:rsidP="000607FF" w:rsidRDefault="000607FF" w14:paraId="559217C8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>pdcch-BlindDetectionCA-R17 for Rel-17 PDCCH monitoring capability</w:t>
      </w:r>
    </w:p>
    <w:p w:rsidRPr="000607FF" w:rsidR="000607FF" w:rsidP="000607FF" w:rsidRDefault="000607FF" w14:paraId="60A73EBA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>Range of pdcch-BlindDetectionCA-R17 and pdcch-BlindDetectionCA-R15: {1, 2, …, 15}</w:t>
      </w:r>
    </w:p>
    <w:p w:rsidRPr="000607FF" w:rsidR="000607FF" w:rsidP="000607FF" w:rsidRDefault="000607FF" w14:paraId="0B1E5511" w14:textId="77777777">
      <w:pPr>
        <w:numPr>
          <w:ilvl w:val="3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>Range of pdcch-BlindDetectionCA-R15 + pdcch-BlindDetectionCA-R17: {</w:t>
      </w:r>
      <w:r w:rsidRPr="000607FF">
        <w:rPr>
          <w:sz w:val="18"/>
          <w:szCs w:val="18"/>
          <w:highlight w:val="yellow"/>
        </w:rPr>
        <w:t>[3 or 4]</w:t>
      </w:r>
      <w:r w:rsidRPr="000607FF">
        <w:rPr>
          <w:sz w:val="18"/>
          <w:szCs w:val="18"/>
        </w:rPr>
        <w:t>, …, 16}</w:t>
      </w:r>
    </w:p>
    <w:p w:rsidRPr="000607FF" w:rsidR="000607FF" w:rsidP="000607FF" w:rsidRDefault="000607FF" w14:paraId="25B22B71" w14:textId="77777777">
      <w:pPr>
        <w:numPr>
          <w:ilvl w:val="1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>Case 6: Capability on the number of CCs with Rel-16 monitoring capability and Rel-17 monitoring capability on different serving cells</w:t>
      </w:r>
    </w:p>
    <w:p w:rsidRPr="000607FF" w:rsidR="000607FF" w:rsidP="000607FF" w:rsidRDefault="000607FF" w14:paraId="3F3965B8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>pdcch-BlindDetectionCA-R16 for Rel-16 PDCCH monitoring capability</w:t>
      </w:r>
    </w:p>
    <w:p w:rsidRPr="000607FF" w:rsidR="000607FF" w:rsidP="000607FF" w:rsidRDefault="000607FF" w14:paraId="18000B41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>pdcch-BlindDetectionCA-R17 for Rel-17 PDCCH monitoring capability</w:t>
      </w:r>
    </w:p>
    <w:p w:rsidRPr="000607FF" w:rsidR="000607FF" w:rsidP="000607FF" w:rsidRDefault="000607FF" w14:paraId="54BC740F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 xml:space="preserve">Range of pdcch-BlindDetectionCA-R17 and pdcch-BlindDetectionCA-R16: {1, 2, …, 15} </w:t>
      </w:r>
    </w:p>
    <w:p w:rsidRPr="000607FF" w:rsidR="000607FF" w:rsidP="000607FF" w:rsidRDefault="000607FF" w14:paraId="5CBD4D2C" w14:textId="77777777">
      <w:pPr>
        <w:numPr>
          <w:ilvl w:val="3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>Range of pdcch-BlindDetectionCA-R16 + pdcch-BlindDetectionCA-R17: {</w:t>
      </w:r>
      <w:r w:rsidRPr="000607FF">
        <w:rPr>
          <w:sz w:val="18"/>
          <w:szCs w:val="18"/>
          <w:highlight w:val="yellow"/>
        </w:rPr>
        <w:t>[2 or 3]</w:t>
      </w:r>
      <w:r w:rsidRPr="000607FF">
        <w:rPr>
          <w:sz w:val="18"/>
          <w:szCs w:val="18"/>
        </w:rPr>
        <w:t>, …, 16}</w:t>
      </w:r>
    </w:p>
    <w:p w:rsidRPr="000607FF" w:rsidR="000607FF" w:rsidP="000607FF" w:rsidRDefault="000607FF" w14:paraId="65467623" w14:textId="77777777">
      <w:pPr>
        <w:numPr>
          <w:ilvl w:val="1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>Case 7: Capability on the number of CCs with Rel-15 monitoring capability, Rel-16 monitoring capability and Rel-17 monitoring capability on different serving cells</w:t>
      </w:r>
    </w:p>
    <w:p w:rsidRPr="000607FF" w:rsidR="000607FF" w:rsidP="000607FF" w:rsidRDefault="000607FF" w14:paraId="5B2EFECB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>pdcch-BlindDetectionCA-R15 for Rel-15 PDCCH monitoring capability</w:t>
      </w:r>
    </w:p>
    <w:p w:rsidRPr="000607FF" w:rsidR="000607FF" w:rsidP="000607FF" w:rsidRDefault="000607FF" w14:paraId="34F1A908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>pdcch-BlindDetectionCA-R16 for Rel-16 PDCCH monitoring capability</w:t>
      </w:r>
    </w:p>
    <w:p w:rsidRPr="000607FF" w:rsidR="000607FF" w:rsidP="000607FF" w:rsidRDefault="000607FF" w14:paraId="35EE7857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>pdcch-BlindDetectionCA-R17 for Rel-17 PDCCH monitoring capability</w:t>
      </w:r>
    </w:p>
    <w:p w:rsidRPr="000607FF" w:rsidR="000607FF" w:rsidP="000607FF" w:rsidRDefault="000607FF" w14:paraId="188B72AE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>Range of pdcch-BlindDetectionCA-R17, pdcch-BlindDetectionCA-R16, and pdcch-BlindDetectionCA-R15: {1, 2, …, 15}</w:t>
      </w:r>
    </w:p>
    <w:p w:rsidRPr="000607FF" w:rsidR="000607FF" w:rsidP="000607FF" w:rsidRDefault="000607FF" w14:paraId="38BB4538" w14:textId="77777777">
      <w:pPr>
        <w:numPr>
          <w:ilvl w:val="3"/>
          <w:numId w:val="33"/>
        </w:numPr>
        <w:overflowPunct/>
        <w:autoSpaceDE/>
        <w:adjustRightInd/>
        <w:spacing w:after="0"/>
        <w:jc w:val="both"/>
        <w:textAlignment w:val="auto"/>
        <w:rPr>
          <w:sz w:val="18"/>
          <w:szCs w:val="18"/>
        </w:rPr>
      </w:pPr>
      <w:r w:rsidRPr="000607FF">
        <w:rPr>
          <w:sz w:val="18"/>
          <w:szCs w:val="18"/>
        </w:rPr>
        <w:t>Range of pdcch-BlindDetectionCA-R15 + pdcch-BlindDetectionCA-R16 + pdcch-BlindDetectionCA-R17: {</w:t>
      </w:r>
      <w:r w:rsidRPr="000607FF">
        <w:rPr>
          <w:sz w:val="18"/>
          <w:szCs w:val="18"/>
          <w:highlight w:val="yellow"/>
        </w:rPr>
        <w:t>[3 or 4]</w:t>
      </w:r>
      <w:r w:rsidRPr="000607FF">
        <w:rPr>
          <w:sz w:val="18"/>
          <w:szCs w:val="18"/>
        </w:rPr>
        <w:t>, …, 16}</w:t>
      </w:r>
    </w:p>
    <w:p w:rsidR="000607FF" w:rsidP="000607FF" w:rsidRDefault="000607FF" w14:paraId="035B3E2E" w14:textId="77777777"/>
    <w:p w:rsidR="18EFB1AB" w:rsidP="18EFB1AB" w:rsidRDefault="001C5B34" w14:paraId="0594FA6F" w14:textId="3A3AE12A">
      <w:r>
        <w:t xml:space="preserve">At the same time, </w:t>
      </w:r>
      <w:r w:rsidR="00962673">
        <w:t>RAN1 #109-e made the following working assumption in AI 8.16.2 (</w:t>
      </w:r>
      <w:r w:rsidRPr="006400C1" w:rsidR="006400C1">
        <w:t>UE features for supporting NR from 52.6 GHz to 71 GHz</w:t>
      </w:r>
      <w:r w:rsidR="006400C1">
        <w:t>)</w:t>
      </w:r>
    </w:p>
    <w:p w:rsidR="18EFB1AB" w:rsidP="18EFB1AB" w:rsidRDefault="18EFB1AB" w14:paraId="02633C05" w14:textId="3EF8E204">
      <w:r>
        <w:rPr>
          <w:noProof/>
        </w:rPr>
        <w:lastRenderedPageBreak/>
        <w:drawing>
          <wp:inline distT="0" distB="0" distL="0" distR="0" wp14:anchorId="4A43249A" wp14:editId="28AB1ED4">
            <wp:extent cx="6482927" cy="2849787"/>
            <wp:effectExtent l="0" t="0" r="0" b="8255"/>
            <wp:docPr id="1501947842" name="Picture 1501947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1118" cy="2853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2D5" w:rsidP="000607FF" w:rsidRDefault="000607FF" w14:paraId="02C803E9" w14:textId="33387B93">
      <w:pPr>
        <w:rPr>
          <w:lang w:eastAsia="ja-JP"/>
        </w:rPr>
      </w:pPr>
      <w:r>
        <w:rPr>
          <w:lang w:eastAsia="ja-JP"/>
        </w:rPr>
        <w:t xml:space="preserve">When defining multi-slot PDCCH monitoring capabilities for high SCSs (480/960 kHz) </w:t>
      </w:r>
      <w:r w:rsidRPr="25083905">
        <w:rPr>
          <w:lang w:eastAsia="ja-JP"/>
        </w:rPr>
        <w:t>in</w:t>
      </w:r>
      <w:r>
        <w:rPr>
          <w:lang w:eastAsia="ja-JP"/>
        </w:rPr>
        <w:t xml:space="preserve"> 1</w:t>
      </w:r>
      <w:r w:rsidR="007E1486">
        <w:rPr>
          <w:lang w:eastAsia="ja-JP"/>
        </w:rPr>
        <w:t>-</w:t>
      </w:r>
      <w:r>
        <w:rPr>
          <w:lang w:eastAsia="ja-JP"/>
        </w:rPr>
        <w:t xml:space="preserve">CC scenario the </w:t>
      </w:r>
      <w:r w:rsidRPr="005558F3">
        <w:rPr>
          <w:lang w:eastAsia="ja-JP"/>
        </w:rPr>
        <w:t>BD/CCE budget per time unit (=125 us) is the same as BD/CCE budget per slot with 120 kHz SCS</w:t>
      </w:r>
      <w:r>
        <w:rPr>
          <w:lang w:eastAsia="ja-JP"/>
        </w:rPr>
        <w:t>. We think that it makes sense to follow the Rel-15 logic also in carrier aggregation scenarios (</w:t>
      </w:r>
      <w:r w:rsidR="00770106">
        <w:rPr>
          <w:lang w:eastAsia="ja-JP"/>
        </w:rPr>
        <w:t xml:space="preserve">at least </w:t>
      </w:r>
      <w:r w:rsidR="00873D63">
        <w:rPr>
          <w:lang w:eastAsia="ja-JP"/>
        </w:rPr>
        <w:t xml:space="preserve">for </w:t>
      </w:r>
      <w:r>
        <w:rPr>
          <w:lang w:eastAsia="ja-JP"/>
        </w:rPr>
        <w:t>Case 4 and Case 5)</w:t>
      </w:r>
      <w:r w:rsidR="00DC1FD8">
        <w:rPr>
          <w:lang w:eastAsia="ja-JP"/>
        </w:rPr>
        <w:t>. This corresponds to defining</w:t>
      </w:r>
      <w:r>
        <w:rPr>
          <w:lang w:eastAsia="ja-JP"/>
        </w:rPr>
        <w:t xml:space="preserve"> four as the minimum value. </w:t>
      </w:r>
      <w:r w:rsidR="006632D5">
        <w:t xml:space="preserve">This would be also </w:t>
      </w:r>
      <w:proofErr w:type="spellStart"/>
      <w:r w:rsidR="006632D5">
        <w:t>inline</w:t>
      </w:r>
      <w:proofErr w:type="spellEnd"/>
      <w:r w:rsidR="006632D5">
        <w:t xml:space="preserve"> with </w:t>
      </w:r>
      <w:r w:rsidR="00572950">
        <w:t xml:space="preserve">the </w:t>
      </w:r>
      <w:r w:rsidR="006632D5">
        <w:t>working assumption</w:t>
      </w:r>
      <w:r w:rsidR="00E14705">
        <w:t>s</w:t>
      </w:r>
      <w:r w:rsidR="006632D5">
        <w:t xml:space="preserve"> made </w:t>
      </w:r>
      <w:r w:rsidR="00514DC2">
        <w:t>in</w:t>
      </w:r>
      <w:r w:rsidR="006632D5">
        <w:t xml:space="preserve"> </w:t>
      </w:r>
      <w:r w:rsidR="00D672F2">
        <w:rPr>
          <w:rStyle w:val="normaltextrun"/>
          <w:color w:val="000000"/>
          <w:bdr w:val="none" w:color="auto" w:sz="0" w:space="0" w:frame="1"/>
        </w:rPr>
        <w:t>UE features</w:t>
      </w:r>
      <w:r w:rsidR="00D672F2">
        <w:t xml:space="preserve"> </w:t>
      </w:r>
      <w:r w:rsidR="006632D5">
        <w:t>AI.</w:t>
      </w:r>
    </w:p>
    <w:p w:rsidR="000607FF" w:rsidP="000607FF" w:rsidRDefault="008B2479" w14:paraId="189C8699" w14:textId="53F100D9">
      <w:pPr>
        <w:rPr>
          <w:lang w:eastAsia="ja-JP"/>
        </w:rPr>
      </w:pPr>
      <w:r>
        <w:rPr>
          <w:lang w:eastAsia="ja-JP"/>
        </w:rPr>
        <w:t xml:space="preserve">For the sake of simplicity, and according to the same logic, we could define four as the minimum value also for Case 6 and Case 7. On the other hand, if the previous agreement </w:t>
      </w:r>
      <w:r w:rsidR="00CD5DED">
        <w:rPr>
          <w:lang w:eastAsia="ja-JP"/>
        </w:rPr>
        <w:t>is</w:t>
      </w:r>
      <w:r>
        <w:rPr>
          <w:lang w:eastAsia="ja-JP"/>
        </w:rPr>
        <w:t xml:space="preserve"> followed, our preference for</w:t>
      </w:r>
      <w:r w:rsidR="00AB1DFD">
        <w:rPr>
          <w:lang w:eastAsia="ja-JP"/>
        </w:rPr>
        <w:t xml:space="preserve"> the minimum value for</w:t>
      </w:r>
      <w:r>
        <w:rPr>
          <w:lang w:eastAsia="ja-JP"/>
        </w:rPr>
        <w:t xml:space="preserve"> Case 6 is three.</w:t>
      </w:r>
      <w:r w:rsidR="00572950">
        <w:rPr>
          <w:lang w:eastAsia="ja-JP"/>
        </w:rPr>
        <w:t xml:space="preserve"> </w:t>
      </w:r>
      <w:r w:rsidR="00B43401">
        <w:t>Again, this</w:t>
      </w:r>
      <w:r w:rsidR="00572950">
        <w:t xml:space="preserve"> </w:t>
      </w:r>
      <w:r w:rsidR="00B43401">
        <w:t>would</w:t>
      </w:r>
      <w:r w:rsidR="004C5580">
        <w:t xml:space="preserve"> </w:t>
      </w:r>
      <w:r w:rsidR="00B43401">
        <w:t xml:space="preserve">align the agreement </w:t>
      </w:r>
      <w:r w:rsidR="000D4481">
        <w:t xml:space="preserve">also </w:t>
      </w:r>
      <w:r w:rsidR="00B43401">
        <w:t>with working assumption</w:t>
      </w:r>
      <w:r w:rsidR="00A40E52">
        <w:t>s</w:t>
      </w:r>
      <w:r w:rsidR="00B43401">
        <w:t xml:space="preserve"> made </w:t>
      </w:r>
      <w:r w:rsidR="00D672F2">
        <w:t xml:space="preserve">in </w:t>
      </w:r>
      <w:r w:rsidR="00D672F2">
        <w:rPr>
          <w:rStyle w:val="normaltextrun"/>
          <w:color w:val="000000"/>
          <w:bdr w:val="none" w:color="auto" w:sz="0" w:space="0" w:frame="1"/>
        </w:rPr>
        <w:t>UE features</w:t>
      </w:r>
      <w:r w:rsidR="00D672F2">
        <w:t xml:space="preserve"> AI</w:t>
      </w:r>
      <w:r w:rsidR="00572950">
        <w:t>.</w:t>
      </w:r>
    </w:p>
    <w:p w:rsidRPr="00225CED" w:rsidR="000607FF" w:rsidP="000607FF" w:rsidRDefault="000607FF" w14:paraId="154F73C2" w14:textId="20F97E6F">
      <w:pPr>
        <w:snapToGrid w:val="0"/>
        <w:spacing w:line="256" w:lineRule="auto"/>
      </w:pPr>
      <w:r w:rsidRPr="000607FF">
        <w:rPr>
          <w:b/>
          <w:bCs/>
          <w:sz w:val="18"/>
          <w:szCs w:val="18"/>
        </w:rPr>
        <w:t>Proposal 1:</w:t>
      </w:r>
      <w:r w:rsidRPr="000607FF">
        <w:rPr>
          <w:sz w:val="18"/>
          <w:szCs w:val="18"/>
        </w:rPr>
        <w:t xml:space="preserve"> </w:t>
      </w:r>
      <w:r w:rsidRPr="00225CED">
        <w:t xml:space="preserve">Modify </w:t>
      </w:r>
      <w:r w:rsidR="00225CED">
        <w:t xml:space="preserve">the </w:t>
      </w:r>
      <w:r w:rsidRPr="00225CED">
        <w:t xml:space="preserve">previous agreement with text in brackets </w:t>
      </w:r>
      <w:r w:rsidRPr="00225CED">
        <w:rPr>
          <w:color w:val="FF0000"/>
        </w:rPr>
        <w:t>in the following way</w:t>
      </w:r>
      <w:r w:rsidRPr="00225CED">
        <w:t>:</w:t>
      </w:r>
    </w:p>
    <w:p w:rsidRPr="000607FF" w:rsidR="000607FF" w:rsidP="000607FF" w:rsidRDefault="000607FF" w14:paraId="5D76D7B7" w14:textId="77777777">
      <w:pPr>
        <w:pStyle w:val="ListParagraph"/>
        <w:numPr>
          <w:ilvl w:val="0"/>
          <w:numId w:val="32"/>
        </w:numPr>
        <w:contextualSpacing w:val="0"/>
        <w:rPr>
          <w:sz w:val="20"/>
          <w:szCs w:val="20"/>
        </w:rPr>
      </w:pPr>
      <w:r w:rsidRPr="000607FF">
        <w:rPr>
          <w:sz w:val="20"/>
          <w:szCs w:val="20"/>
        </w:rPr>
        <w:t xml:space="preserve">For </w:t>
      </w:r>
      <w:proofErr w:type="spellStart"/>
      <w:r w:rsidRPr="000607FF">
        <w:rPr>
          <w:sz w:val="20"/>
          <w:szCs w:val="20"/>
        </w:rPr>
        <w:t>the</w:t>
      </w:r>
      <w:proofErr w:type="spellEnd"/>
      <w:r w:rsidRPr="000607FF">
        <w:rPr>
          <w:sz w:val="20"/>
          <w:szCs w:val="20"/>
        </w:rPr>
        <w:t xml:space="preserve"> UE </w:t>
      </w:r>
      <w:proofErr w:type="spellStart"/>
      <w:r w:rsidRPr="000607FF">
        <w:rPr>
          <w:sz w:val="20"/>
          <w:szCs w:val="20"/>
        </w:rPr>
        <w:t>capability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parameters</w:t>
      </w:r>
      <w:proofErr w:type="spellEnd"/>
      <w:r w:rsidRPr="000607FF">
        <w:rPr>
          <w:sz w:val="20"/>
          <w:szCs w:val="20"/>
        </w:rPr>
        <w:t xml:space="preserve"> for </w:t>
      </w:r>
      <w:proofErr w:type="spellStart"/>
      <w:r w:rsidRPr="000607FF">
        <w:rPr>
          <w:sz w:val="20"/>
          <w:szCs w:val="20"/>
        </w:rPr>
        <w:t>carrier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aggregation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according</w:t>
      </w:r>
      <w:proofErr w:type="spellEnd"/>
      <w:r w:rsidRPr="000607FF">
        <w:rPr>
          <w:sz w:val="20"/>
          <w:szCs w:val="20"/>
        </w:rPr>
        <w:t xml:space="preserve"> to </w:t>
      </w:r>
      <w:proofErr w:type="spellStart"/>
      <w:r w:rsidRPr="000607FF">
        <w:rPr>
          <w:sz w:val="20"/>
          <w:szCs w:val="20"/>
        </w:rPr>
        <w:t>Cases</w:t>
      </w:r>
      <w:proofErr w:type="spellEnd"/>
      <w:r w:rsidRPr="000607FF">
        <w:rPr>
          <w:sz w:val="20"/>
          <w:szCs w:val="20"/>
        </w:rPr>
        <w:t xml:space="preserve"> 4,5,6,7 </w:t>
      </w:r>
      <w:proofErr w:type="spellStart"/>
      <w:r w:rsidRPr="000607FF">
        <w:rPr>
          <w:sz w:val="20"/>
          <w:szCs w:val="20"/>
        </w:rPr>
        <w:t>agreed</w:t>
      </w:r>
      <w:proofErr w:type="spellEnd"/>
      <w:r w:rsidRPr="000607FF">
        <w:rPr>
          <w:sz w:val="20"/>
          <w:szCs w:val="20"/>
        </w:rPr>
        <w:t xml:space="preserve"> in RAN1#108e, </w:t>
      </w:r>
      <w:proofErr w:type="spellStart"/>
      <w:r w:rsidRPr="000607FF">
        <w:rPr>
          <w:sz w:val="20"/>
          <w:szCs w:val="20"/>
        </w:rPr>
        <w:t>support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the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following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value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ranges</w:t>
      </w:r>
      <w:proofErr w:type="spellEnd"/>
      <w:r w:rsidRPr="000607FF">
        <w:rPr>
          <w:sz w:val="20"/>
          <w:szCs w:val="20"/>
        </w:rPr>
        <w:t>:</w:t>
      </w:r>
    </w:p>
    <w:p w:rsidRPr="00FE1015" w:rsidR="000607FF" w:rsidP="000607FF" w:rsidRDefault="000607FF" w14:paraId="333E74E0" w14:textId="77777777">
      <w:pPr>
        <w:numPr>
          <w:ilvl w:val="1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>Case 4: Capability on the number of CCs with Rel-17 monitoring capability only</w:t>
      </w:r>
    </w:p>
    <w:p w:rsidRPr="00FE1015" w:rsidR="000607FF" w:rsidP="000607FF" w:rsidRDefault="000607FF" w14:paraId="7E1696B4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  <w:rPr>
          <w:rFonts w:ascii="Calibri" w:hAnsi="Calibri" w:cs="Calibri"/>
          <w:lang w:eastAsia="zh-CN"/>
        </w:rPr>
      </w:pPr>
      <w:r w:rsidRPr="00FE1015">
        <w:t>Range of pdcch-BlindDetectionCA-R17: {</w:t>
      </w:r>
      <w:r w:rsidRPr="00225CED">
        <w:rPr>
          <w:strike/>
          <w:color w:val="FF0000"/>
        </w:rPr>
        <w:t xml:space="preserve">[2 or </w:t>
      </w:r>
      <w:r w:rsidRPr="00FE1015">
        <w:t>4</w:t>
      </w:r>
      <w:r w:rsidRPr="00225CED">
        <w:rPr>
          <w:strike/>
          <w:color w:val="FF0000"/>
        </w:rPr>
        <w:t>]</w:t>
      </w:r>
      <w:r w:rsidRPr="00FE1015">
        <w:t>, …, 16}</w:t>
      </w:r>
    </w:p>
    <w:p w:rsidRPr="00FE1015" w:rsidR="000607FF" w:rsidP="000607FF" w:rsidRDefault="000607FF" w14:paraId="43A075B8" w14:textId="77777777">
      <w:pPr>
        <w:numPr>
          <w:ilvl w:val="1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>Case 5: Capability on the number of CCs with Rel-15 monitoring capability and Rel-17 monitoring capability on different serving cells</w:t>
      </w:r>
    </w:p>
    <w:p w:rsidRPr="00FE1015" w:rsidR="000607FF" w:rsidP="000607FF" w:rsidRDefault="000607FF" w14:paraId="7DD0F745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  <w:rPr>
          <w:rFonts w:ascii="Calibri" w:hAnsi="Calibri" w:cs="Calibri"/>
        </w:rPr>
      </w:pPr>
      <w:r w:rsidRPr="00FE1015">
        <w:t>pdcch-BlindDetectionCA-R15 for Rel-15 PDCCH monitoring capability</w:t>
      </w:r>
    </w:p>
    <w:p w:rsidRPr="00FE1015" w:rsidR="000607FF" w:rsidP="000607FF" w:rsidRDefault="000607FF" w14:paraId="54AB13B1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>pdcch-BlindDetectionCA-R17 for Rel-17 PDCCH monitoring capability</w:t>
      </w:r>
    </w:p>
    <w:p w:rsidRPr="00FE1015" w:rsidR="000607FF" w:rsidP="000607FF" w:rsidRDefault="000607FF" w14:paraId="421F506E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>Range of pdcch-BlindDetectionCA-R17 and pdcch-BlindDetectionCA-R15: {1, 2, …, 15}</w:t>
      </w:r>
    </w:p>
    <w:p w:rsidRPr="00FE1015" w:rsidR="000607FF" w:rsidP="000607FF" w:rsidRDefault="000607FF" w14:paraId="465D71B7" w14:textId="77777777">
      <w:pPr>
        <w:numPr>
          <w:ilvl w:val="3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>Range of pdcch-BlindDetectionCA-R15 + pdcch-BlindDetectionCA-R17: {</w:t>
      </w:r>
      <w:r w:rsidRPr="00225CED">
        <w:rPr>
          <w:strike/>
          <w:color w:val="FF0000"/>
        </w:rPr>
        <w:t xml:space="preserve">[3 or </w:t>
      </w:r>
      <w:r w:rsidRPr="00FE1015">
        <w:t>4</w:t>
      </w:r>
      <w:r w:rsidRPr="00225CED">
        <w:rPr>
          <w:strike/>
          <w:color w:val="FF0000"/>
        </w:rPr>
        <w:t>]</w:t>
      </w:r>
      <w:r w:rsidRPr="00FE1015">
        <w:t>, …, 16}</w:t>
      </w:r>
    </w:p>
    <w:p w:rsidRPr="00FE1015" w:rsidR="000607FF" w:rsidP="000607FF" w:rsidRDefault="000607FF" w14:paraId="09E04696" w14:textId="77777777">
      <w:pPr>
        <w:numPr>
          <w:ilvl w:val="1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>Case 6: Capability on the number of CCs with Rel-16 monitoring capability and Rel-17 monitoring capability on different serving cells</w:t>
      </w:r>
    </w:p>
    <w:p w:rsidRPr="00FE1015" w:rsidR="000607FF" w:rsidP="000607FF" w:rsidRDefault="000607FF" w14:paraId="7C009871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>pdcch-BlindDetectionCA-R16 for Rel-16 PDCCH monitoring capability</w:t>
      </w:r>
    </w:p>
    <w:p w:rsidRPr="00FE1015" w:rsidR="000607FF" w:rsidP="000607FF" w:rsidRDefault="000607FF" w14:paraId="3DE530D8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>pdcch-BlindDetectionCA-R17 for Rel-17 PDCCH monitoring capability</w:t>
      </w:r>
    </w:p>
    <w:p w:rsidRPr="00FE1015" w:rsidR="000607FF" w:rsidP="000607FF" w:rsidRDefault="000607FF" w14:paraId="1C8FA9CF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 xml:space="preserve">Range of pdcch-BlindDetectionCA-R17 and pdcch-BlindDetectionCA-R16: {1, 2, …, 15} </w:t>
      </w:r>
    </w:p>
    <w:p w:rsidRPr="00FE1015" w:rsidR="000607FF" w:rsidP="000607FF" w:rsidRDefault="000607FF" w14:paraId="4E722DC9" w14:textId="77777777">
      <w:pPr>
        <w:numPr>
          <w:ilvl w:val="3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>Range of pdcch-BlindDetectionCA-R16 + pdcch-BlindDetectionCA-R17: {</w:t>
      </w:r>
      <w:r w:rsidRPr="00225CED">
        <w:rPr>
          <w:strike/>
          <w:color w:val="FF0000"/>
        </w:rPr>
        <w:t xml:space="preserve">[2 or </w:t>
      </w:r>
      <w:r w:rsidRPr="00FE1015">
        <w:t>3</w:t>
      </w:r>
      <w:r w:rsidRPr="00225CED">
        <w:rPr>
          <w:strike/>
          <w:color w:val="FF0000"/>
        </w:rPr>
        <w:t>]</w:t>
      </w:r>
      <w:r w:rsidRPr="00FE1015">
        <w:t>, …, 16}</w:t>
      </w:r>
    </w:p>
    <w:p w:rsidRPr="00FE1015" w:rsidR="000607FF" w:rsidP="000607FF" w:rsidRDefault="000607FF" w14:paraId="0D534BB8" w14:textId="77777777">
      <w:pPr>
        <w:numPr>
          <w:ilvl w:val="1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>Case 7: Capability on the number of CCs with Rel-15 monitoring capability, Rel-16 monitoring capability and Rel-17 monitoring capability on different serving cells</w:t>
      </w:r>
    </w:p>
    <w:p w:rsidRPr="00FE1015" w:rsidR="000607FF" w:rsidP="000607FF" w:rsidRDefault="000607FF" w14:paraId="4F8C8133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>pdcch-BlindDetectionCA-R15 for Rel-15 PDCCH monitoring capability</w:t>
      </w:r>
    </w:p>
    <w:p w:rsidRPr="00FE1015" w:rsidR="000607FF" w:rsidP="000607FF" w:rsidRDefault="000607FF" w14:paraId="5C455393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>pdcch-BlindDetectionCA-R16 for Rel-16 PDCCH monitoring capability</w:t>
      </w:r>
    </w:p>
    <w:p w:rsidRPr="00FE1015" w:rsidR="000607FF" w:rsidP="000607FF" w:rsidRDefault="000607FF" w14:paraId="6AA40445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>pdcch-BlindDetectionCA-R17 for Rel-17 PDCCH monitoring capability</w:t>
      </w:r>
    </w:p>
    <w:p w:rsidRPr="00FE1015" w:rsidR="000607FF" w:rsidP="000607FF" w:rsidRDefault="000607FF" w14:paraId="3144AB0D" w14:textId="77777777">
      <w:pPr>
        <w:numPr>
          <w:ilvl w:val="2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>Range of pdcch-BlindDetectionCA-R17, pdcch-BlindDetectionCA-R16, and pdcch-BlindDetectionCA-R15: {1, 2, …, 15}</w:t>
      </w:r>
    </w:p>
    <w:p w:rsidRPr="00FE1015" w:rsidR="000607FF" w:rsidP="000607FF" w:rsidRDefault="000607FF" w14:paraId="3262DF59" w14:textId="77777777">
      <w:pPr>
        <w:numPr>
          <w:ilvl w:val="3"/>
          <w:numId w:val="33"/>
        </w:numPr>
        <w:overflowPunct/>
        <w:autoSpaceDE/>
        <w:adjustRightInd/>
        <w:spacing w:after="0"/>
        <w:jc w:val="both"/>
        <w:textAlignment w:val="auto"/>
      </w:pPr>
      <w:r w:rsidRPr="00FE1015">
        <w:t>Range of pdcch-BlindDetectionCA-R15 + pdcch-BlindDetectionCA-R16 + pdcch-BlindDetectionCA-R17: {</w:t>
      </w:r>
      <w:r w:rsidRPr="00225CED">
        <w:rPr>
          <w:strike/>
          <w:color w:val="FF0000"/>
        </w:rPr>
        <w:t xml:space="preserve">[3 or </w:t>
      </w:r>
      <w:r>
        <w:t>4</w:t>
      </w:r>
      <w:r w:rsidRPr="00225CED">
        <w:rPr>
          <w:strike/>
          <w:color w:val="FF0000"/>
        </w:rPr>
        <w:t>]</w:t>
      </w:r>
      <w:r w:rsidRPr="00FE1015">
        <w:t>, …, 16}</w:t>
      </w:r>
    </w:p>
    <w:p w:rsidR="000607FF" w:rsidP="000607FF" w:rsidRDefault="000607FF" w14:paraId="161F3A11" w14:textId="77777777"/>
    <w:p w:rsidR="00885580" w:rsidP="00885580" w:rsidRDefault="007820D0" w14:paraId="10445A01" w14:textId="480CC7E1">
      <w:pPr>
        <w:pStyle w:val="Heading1"/>
      </w:pPr>
      <w:r>
        <w:lastRenderedPageBreak/>
        <w:t>Conclusion</w:t>
      </w:r>
    </w:p>
    <w:p w:rsidR="001337A5" w:rsidP="001F201D" w:rsidRDefault="000607FF" w14:paraId="384567B8" w14:textId="69E986BC">
      <w:r w:rsidRPr="000607FF">
        <w:t xml:space="preserve">This paper </w:t>
      </w:r>
      <w:r>
        <w:t>discussed</w:t>
      </w:r>
      <w:r w:rsidRPr="000607FF">
        <w:t xml:space="preserve"> UE capability parameters related to per-slot group monitoring for multiple serving cells.</w:t>
      </w:r>
      <w:r w:rsidR="00225CED">
        <w:t xml:space="preserve"> Based on the discussion, we make the following proposal:</w:t>
      </w:r>
    </w:p>
    <w:p w:rsidRPr="00225CED" w:rsidR="00225CED" w:rsidP="00225CED" w:rsidRDefault="00225CED" w14:paraId="138B9D18" w14:textId="4BA1C0BF">
      <w:pPr>
        <w:snapToGrid w:val="0"/>
        <w:spacing w:line="256" w:lineRule="auto"/>
      </w:pPr>
      <w:r w:rsidRPr="000607FF">
        <w:rPr>
          <w:b/>
          <w:bCs/>
          <w:sz w:val="18"/>
          <w:szCs w:val="18"/>
        </w:rPr>
        <w:t>Proposal 1:</w:t>
      </w:r>
      <w:r w:rsidRPr="000607FF">
        <w:rPr>
          <w:sz w:val="18"/>
          <w:szCs w:val="18"/>
        </w:rPr>
        <w:t xml:space="preserve"> </w:t>
      </w:r>
      <w:r w:rsidRPr="00225CED">
        <w:t xml:space="preserve">Modify </w:t>
      </w:r>
      <w:r>
        <w:t xml:space="preserve">the </w:t>
      </w:r>
      <w:r w:rsidRPr="00225CED">
        <w:t xml:space="preserve">previous agreement with text in brackets </w:t>
      </w:r>
      <w:r w:rsidRPr="00225CED">
        <w:rPr>
          <w:color w:val="FF0000"/>
        </w:rPr>
        <w:t>in the following way</w:t>
      </w:r>
      <w:r w:rsidRPr="00225CED">
        <w:t>:</w:t>
      </w:r>
    </w:p>
    <w:p w:rsidRPr="000607FF" w:rsidR="00225CED" w:rsidP="00225CED" w:rsidRDefault="00225CED" w14:paraId="6E165D36" w14:textId="77777777">
      <w:pPr>
        <w:pStyle w:val="ListParagraph"/>
        <w:numPr>
          <w:ilvl w:val="0"/>
          <w:numId w:val="32"/>
        </w:numPr>
        <w:contextualSpacing w:val="0"/>
        <w:rPr>
          <w:sz w:val="20"/>
          <w:szCs w:val="20"/>
        </w:rPr>
      </w:pPr>
      <w:r w:rsidRPr="000607FF">
        <w:rPr>
          <w:sz w:val="20"/>
          <w:szCs w:val="20"/>
        </w:rPr>
        <w:t xml:space="preserve">For </w:t>
      </w:r>
      <w:proofErr w:type="spellStart"/>
      <w:r w:rsidRPr="000607FF">
        <w:rPr>
          <w:sz w:val="20"/>
          <w:szCs w:val="20"/>
        </w:rPr>
        <w:t>the</w:t>
      </w:r>
      <w:proofErr w:type="spellEnd"/>
      <w:r w:rsidRPr="000607FF">
        <w:rPr>
          <w:sz w:val="20"/>
          <w:szCs w:val="20"/>
        </w:rPr>
        <w:t xml:space="preserve"> UE </w:t>
      </w:r>
      <w:proofErr w:type="spellStart"/>
      <w:r w:rsidRPr="000607FF">
        <w:rPr>
          <w:sz w:val="20"/>
          <w:szCs w:val="20"/>
        </w:rPr>
        <w:t>capability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parameters</w:t>
      </w:r>
      <w:proofErr w:type="spellEnd"/>
      <w:r w:rsidRPr="000607FF">
        <w:rPr>
          <w:sz w:val="20"/>
          <w:szCs w:val="20"/>
        </w:rPr>
        <w:t xml:space="preserve"> for </w:t>
      </w:r>
      <w:proofErr w:type="spellStart"/>
      <w:r w:rsidRPr="000607FF">
        <w:rPr>
          <w:sz w:val="20"/>
          <w:szCs w:val="20"/>
        </w:rPr>
        <w:t>carrier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aggregation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according</w:t>
      </w:r>
      <w:proofErr w:type="spellEnd"/>
      <w:r w:rsidRPr="000607FF">
        <w:rPr>
          <w:sz w:val="20"/>
          <w:szCs w:val="20"/>
        </w:rPr>
        <w:t xml:space="preserve"> to </w:t>
      </w:r>
      <w:proofErr w:type="spellStart"/>
      <w:r w:rsidRPr="000607FF">
        <w:rPr>
          <w:sz w:val="20"/>
          <w:szCs w:val="20"/>
        </w:rPr>
        <w:t>Cases</w:t>
      </w:r>
      <w:proofErr w:type="spellEnd"/>
      <w:r w:rsidRPr="000607FF">
        <w:rPr>
          <w:sz w:val="20"/>
          <w:szCs w:val="20"/>
        </w:rPr>
        <w:t xml:space="preserve"> 4,5,6,7 </w:t>
      </w:r>
      <w:proofErr w:type="spellStart"/>
      <w:r w:rsidRPr="000607FF">
        <w:rPr>
          <w:sz w:val="20"/>
          <w:szCs w:val="20"/>
        </w:rPr>
        <w:t>agreed</w:t>
      </w:r>
      <w:proofErr w:type="spellEnd"/>
      <w:r w:rsidRPr="000607FF">
        <w:rPr>
          <w:sz w:val="20"/>
          <w:szCs w:val="20"/>
        </w:rPr>
        <w:t xml:space="preserve"> in RAN1#108e, </w:t>
      </w:r>
      <w:proofErr w:type="spellStart"/>
      <w:r w:rsidRPr="000607FF">
        <w:rPr>
          <w:sz w:val="20"/>
          <w:szCs w:val="20"/>
        </w:rPr>
        <w:t>support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the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following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value</w:t>
      </w:r>
      <w:proofErr w:type="spellEnd"/>
      <w:r w:rsidRPr="000607FF">
        <w:rPr>
          <w:sz w:val="20"/>
          <w:szCs w:val="20"/>
        </w:rPr>
        <w:t xml:space="preserve"> </w:t>
      </w:r>
      <w:proofErr w:type="spellStart"/>
      <w:r w:rsidRPr="000607FF">
        <w:rPr>
          <w:sz w:val="20"/>
          <w:szCs w:val="20"/>
        </w:rPr>
        <w:t>ranges</w:t>
      </w:r>
      <w:proofErr w:type="spellEnd"/>
      <w:r w:rsidRPr="000607FF">
        <w:rPr>
          <w:sz w:val="20"/>
          <w:szCs w:val="20"/>
        </w:rPr>
        <w:t>:</w:t>
      </w:r>
    </w:p>
    <w:p w:rsidRPr="00FE1015" w:rsidR="00225CED" w:rsidP="00225CED" w:rsidRDefault="00225CED" w14:paraId="6770AC62" w14:textId="77777777">
      <w:pPr>
        <w:numPr>
          <w:ilvl w:val="1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>Case 4: Capability on the number of CCs with Rel-17 monitoring capability only</w:t>
      </w:r>
    </w:p>
    <w:p w:rsidRPr="00FE1015" w:rsidR="00225CED" w:rsidP="00225CED" w:rsidRDefault="00225CED" w14:paraId="68920DD5" w14:textId="77777777">
      <w:pPr>
        <w:numPr>
          <w:ilvl w:val="2"/>
          <w:numId w:val="32"/>
        </w:numPr>
        <w:overflowPunct/>
        <w:autoSpaceDE/>
        <w:adjustRightInd/>
        <w:spacing w:after="0"/>
        <w:jc w:val="both"/>
        <w:textAlignment w:val="auto"/>
        <w:rPr>
          <w:rFonts w:ascii="Calibri" w:hAnsi="Calibri" w:cs="Calibri"/>
          <w:lang w:eastAsia="zh-CN"/>
        </w:rPr>
      </w:pPr>
      <w:r w:rsidRPr="00FE1015">
        <w:t>Range of pdcch-BlindDetectionCA-R17: {</w:t>
      </w:r>
      <w:r w:rsidRPr="00225CED">
        <w:rPr>
          <w:strike/>
          <w:color w:val="FF0000"/>
        </w:rPr>
        <w:t xml:space="preserve">[2 or </w:t>
      </w:r>
      <w:r w:rsidRPr="00FE1015">
        <w:t>4</w:t>
      </w:r>
      <w:r w:rsidRPr="00225CED">
        <w:rPr>
          <w:strike/>
          <w:color w:val="FF0000"/>
        </w:rPr>
        <w:t>]</w:t>
      </w:r>
      <w:r w:rsidRPr="00FE1015">
        <w:t>, …, 16}</w:t>
      </w:r>
    </w:p>
    <w:p w:rsidRPr="00FE1015" w:rsidR="00225CED" w:rsidP="00225CED" w:rsidRDefault="00225CED" w14:paraId="4629833D" w14:textId="77777777">
      <w:pPr>
        <w:numPr>
          <w:ilvl w:val="1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>Case 5: Capability on the number of CCs with Rel-15 monitoring capability and Rel-17 monitoring capability on different serving cells</w:t>
      </w:r>
    </w:p>
    <w:p w:rsidRPr="00FE1015" w:rsidR="00225CED" w:rsidP="00225CED" w:rsidRDefault="00225CED" w14:paraId="419C935A" w14:textId="77777777">
      <w:pPr>
        <w:numPr>
          <w:ilvl w:val="2"/>
          <w:numId w:val="32"/>
        </w:numPr>
        <w:overflowPunct/>
        <w:autoSpaceDE/>
        <w:adjustRightInd/>
        <w:spacing w:after="0"/>
        <w:jc w:val="both"/>
        <w:textAlignment w:val="auto"/>
        <w:rPr>
          <w:rFonts w:ascii="Calibri" w:hAnsi="Calibri" w:cs="Calibri"/>
        </w:rPr>
      </w:pPr>
      <w:r w:rsidRPr="00FE1015">
        <w:t>pdcch-BlindDetectionCA-R15 for Rel-15 PDCCH monitoring capability</w:t>
      </w:r>
    </w:p>
    <w:p w:rsidRPr="00FE1015" w:rsidR="00225CED" w:rsidP="00225CED" w:rsidRDefault="00225CED" w14:paraId="2ECDB585" w14:textId="77777777">
      <w:pPr>
        <w:numPr>
          <w:ilvl w:val="2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>pdcch-BlindDetectionCA-R17 for Rel-17 PDCCH monitoring capability</w:t>
      </w:r>
    </w:p>
    <w:p w:rsidRPr="00FE1015" w:rsidR="00225CED" w:rsidP="00225CED" w:rsidRDefault="00225CED" w14:paraId="24B97048" w14:textId="77777777">
      <w:pPr>
        <w:numPr>
          <w:ilvl w:val="2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>Range of pdcch-BlindDetectionCA-R17 and pdcch-BlindDetectionCA-R15: {1, 2, …, 15}</w:t>
      </w:r>
    </w:p>
    <w:p w:rsidRPr="00FE1015" w:rsidR="00225CED" w:rsidP="00225CED" w:rsidRDefault="00225CED" w14:paraId="79154023" w14:textId="77777777">
      <w:pPr>
        <w:numPr>
          <w:ilvl w:val="3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>Range of pdcch-BlindDetectionCA-R15 + pdcch-BlindDetectionCA-R17: {</w:t>
      </w:r>
      <w:r w:rsidRPr="00225CED">
        <w:rPr>
          <w:strike/>
          <w:color w:val="FF0000"/>
        </w:rPr>
        <w:t xml:space="preserve">[3 or </w:t>
      </w:r>
      <w:r w:rsidRPr="00FE1015">
        <w:t>4</w:t>
      </w:r>
      <w:r w:rsidRPr="00225CED">
        <w:rPr>
          <w:strike/>
          <w:color w:val="FF0000"/>
        </w:rPr>
        <w:t>]</w:t>
      </w:r>
      <w:r w:rsidRPr="00FE1015">
        <w:t>, …, 16}</w:t>
      </w:r>
    </w:p>
    <w:p w:rsidRPr="00FE1015" w:rsidR="00225CED" w:rsidP="00225CED" w:rsidRDefault="00225CED" w14:paraId="3F4A7195" w14:textId="77777777">
      <w:pPr>
        <w:numPr>
          <w:ilvl w:val="1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>Case 6: Capability on the number of CCs with Rel-16 monitoring capability and Rel-17 monitoring capability on different serving cells</w:t>
      </w:r>
    </w:p>
    <w:p w:rsidRPr="00FE1015" w:rsidR="00225CED" w:rsidP="00225CED" w:rsidRDefault="00225CED" w14:paraId="25F42624" w14:textId="77777777">
      <w:pPr>
        <w:numPr>
          <w:ilvl w:val="2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>pdcch-BlindDetectionCA-R16 for Rel-16 PDCCH monitoring capability</w:t>
      </w:r>
    </w:p>
    <w:p w:rsidRPr="00FE1015" w:rsidR="00225CED" w:rsidP="00225CED" w:rsidRDefault="00225CED" w14:paraId="2267F1B8" w14:textId="77777777">
      <w:pPr>
        <w:numPr>
          <w:ilvl w:val="2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>pdcch-BlindDetectionCA-R17 for Rel-17 PDCCH monitoring capability</w:t>
      </w:r>
    </w:p>
    <w:p w:rsidRPr="00FE1015" w:rsidR="00225CED" w:rsidP="00225CED" w:rsidRDefault="00225CED" w14:paraId="08B0F3FE" w14:textId="77777777">
      <w:pPr>
        <w:numPr>
          <w:ilvl w:val="2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 xml:space="preserve">Range of pdcch-BlindDetectionCA-R17 and pdcch-BlindDetectionCA-R16: {1, 2, …, 15} </w:t>
      </w:r>
    </w:p>
    <w:p w:rsidRPr="00FE1015" w:rsidR="00225CED" w:rsidP="00225CED" w:rsidRDefault="00225CED" w14:paraId="078D0A14" w14:textId="77777777">
      <w:pPr>
        <w:numPr>
          <w:ilvl w:val="3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>Range of pdcch-BlindDetectionCA-R16 + pdcch-BlindDetectionCA-R17: {</w:t>
      </w:r>
      <w:r w:rsidRPr="00225CED">
        <w:rPr>
          <w:strike/>
          <w:color w:val="FF0000"/>
        </w:rPr>
        <w:t xml:space="preserve">[2 or </w:t>
      </w:r>
      <w:r w:rsidRPr="00FE1015">
        <w:t>3</w:t>
      </w:r>
      <w:r w:rsidRPr="00225CED">
        <w:rPr>
          <w:strike/>
          <w:color w:val="FF0000"/>
        </w:rPr>
        <w:t>]</w:t>
      </w:r>
      <w:r w:rsidRPr="00FE1015">
        <w:t>, …, 16}</w:t>
      </w:r>
    </w:p>
    <w:p w:rsidRPr="00FE1015" w:rsidR="00225CED" w:rsidP="00225CED" w:rsidRDefault="00225CED" w14:paraId="48C85A96" w14:textId="77777777">
      <w:pPr>
        <w:numPr>
          <w:ilvl w:val="1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>Case 7: Capability on the number of CCs with Rel-15 monitoring capability, Rel-16 monitoring capability and Rel-17 monitoring capability on different serving cells</w:t>
      </w:r>
    </w:p>
    <w:p w:rsidRPr="00FE1015" w:rsidR="00225CED" w:rsidP="00225CED" w:rsidRDefault="00225CED" w14:paraId="4948049C" w14:textId="77777777">
      <w:pPr>
        <w:numPr>
          <w:ilvl w:val="2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>pdcch-BlindDetectionCA-R15 for Rel-15 PDCCH monitoring capability</w:t>
      </w:r>
    </w:p>
    <w:p w:rsidRPr="00FE1015" w:rsidR="00225CED" w:rsidP="00225CED" w:rsidRDefault="00225CED" w14:paraId="6AE59F86" w14:textId="77777777">
      <w:pPr>
        <w:numPr>
          <w:ilvl w:val="2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>pdcch-BlindDetectionCA-R16 for Rel-16 PDCCH monitoring capability</w:t>
      </w:r>
    </w:p>
    <w:p w:rsidRPr="00FE1015" w:rsidR="00225CED" w:rsidP="00225CED" w:rsidRDefault="00225CED" w14:paraId="0625C321" w14:textId="77777777">
      <w:pPr>
        <w:numPr>
          <w:ilvl w:val="2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>pdcch-BlindDetectionCA-R17 for Rel-17 PDCCH monitoring capability</w:t>
      </w:r>
    </w:p>
    <w:p w:rsidRPr="00FE1015" w:rsidR="00225CED" w:rsidP="00225CED" w:rsidRDefault="00225CED" w14:paraId="71BB8EBE" w14:textId="77777777">
      <w:pPr>
        <w:numPr>
          <w:ilvl w:val="2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>Range of pdcch-BlindDetectionCA-R17, pdcch-BlindDetectionCA-R16, and pdcch-BlindDetectionCA-R15: {1, 2, …, 15}</w:t>
      </w:r>
    </w:p>
    <w:p w:rsidR="00225CED" w:rsidP="00225CED" w:rsidRDefault="00225CED" w14:paraId="43601359" w14:textId="77777777">
      <w:pPr>
        <w:numPr>
          <w:ilvl w:val="3"/>
          <w:numId w:val="32"/>
        </w:numPr>
        <w:overflowPunct/>
        <w:autoSpaceDE/>
        <w:adjustRightInd/>
        <w:spacing w:after="0"/>
        <w:jc w:val="both"/>
        <w:textAlignment w:val="auto"/>
      </w:pPr>
      <w:r w:rsidRPr="00FE1015">
        <w:t>Range of pdcch-BlindDetectionCA-R15 + pdcch-BlindDetectionCA-R16 + pdcch-BlindDetectionCA-R17: {</w:t>
      </w:r>
      <w:r w:rsidRPr="00225CED">
        <w:rPr>
          <w:strike/>
          <w:color w:val="FF0000"/>
        </w:rPr>
        <w:t xml:space="preserve">[3 or </w:t>
      </w:r>
      <w:r>
        <w:t>4</w:t>
      </w:r>
      <w:r w:rsidRPr="00225CED">
        <w:rPr>
          <w:strike/>
          <w:color w:val="FF0000"/>
        </w:rPr>
        <w:t>]</w:t>
      </w:r>
      <w:r w:rsidRPr="00FE1015">
        <w:t>, …, 16}</w:t>
      </w:r>
    </w:p>
    <w:p w:rsidRPr="00FE1015" w:rsidR="00F14776" w:rsidP="006478E1" w:rsidRDefault="00F14776" w14:paraId="28CD8D79" w14:textId="77777777">
      <w:pPr>
        <w:overflowPunct/>
        <w:autoSpaceDE/>
        <w:adjustRightInd/>
        <w:spacing w:after="0"/>
        <w:ind w:left="2880"/>
        <w:jc w:val="both"/>
        <w:textAlignment w:val="auto"/>
      </w:pPr>
    </w:p>
    <w:p w:rsidR="00885580" w:rsidP="00885580" w:rsidRDefault="00885580" w14:paraId="53CD9119" w14:textId="5206E1F5">
      <w:pPr>
        <w:pStyle w:val="Heading1"/>
        <w:numPr>
          <w:ilvl w:val="0"/>
          <w:numId w:val="0"/>
        </w:numPr>
      </w:pPr>
      <w:r>
        <w:t>References</w:t>
      </w:r>
    </w:p>
    <w:p w:rsidRPr="00205A4B" w:rsidR="00205A4B" w:rsidP="00205A4B" w:rsidRDefault="000607FF" w14:paraId="093EE10C" w14:textId="64F167D3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0607FF">
        <w:rPr>
          <w:sz w:val="20"/>
          <w:szCs w:val="20"/>
        </w:rPr>
        <w:t>Draft_Minutes_report_RAN1#109-e_v030</w:t>
      </w:r>
      <w:r>
        <w:rPr>
          <w:sz w:val="20"/>
          <w:szCs w:val="20"/>
        </w:rPr>
        <w:t>, 3GPP.</w:t>
      </w:r>
    </w:p>
    <w:p w:rsidR="18EFB1AB" w:rsidP="18EFB1AB" w:rsidRDefault="18EFB1AB" w14:paraId="5758E6CD" w14:textId="05E559AA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7DC48A7B" w:rsidR="7DC48A7B">
        <w:rPr>
          <w:b w:val="0"/>
          <w:bCs w:val="0"/>
          <w:i w:val="0"/>
          <w:iCs w:val="0"/>
          <w:caps w:val="0"/>
          <w:smallCaps w:val="0"/>
          <w:noProof w:val="0"/>
          <w:color w:val="242424"/>
          <w:sz w:val="21"/>
          <w:szCs w:val="21"/>
          <w:lang w:val="fi-FI"/>
        </w:rPr>
        <w:t>R1-2207584</w:t>
      </w:r>
      <w:r w:rsidRPr="7DC48A7B" w:rsidR="18EFB1AB">
        <w:rPr>
          <w:sz w:val="20"/>
          <w:szCs w:val="20"/>
        </w:rPr>
        <w:t>, “</w:t>
      </w:r>
      <w:r w:rsidRPr="7DC48A7B" w:rsidR="18EFB1AB">
        <w:rPr>
          <w:i w:val="1"/>
          <w:iCs w:val="1"/>
          <w:sz w:val="20"/>
          <w:szCs w:val="20"/>
        </w:rPr>
        <w:t xml:space="preserve">On UE </w:t>
      </w:r>
      <w:proofErr w:type="spellStart"/>
      <w:r w:rsidRPr="7DC48A7B" w:rsidR="18EFB1AB">
        <w:rPr>
          <w:i w:val="1"/>
          <w:iCs w:val="1"/>
          <w:sz w:val="20"/>
          <w:szCs w:val="20"/>
        </w:rPr>
        <w:t>features</w:t>
      </w:r>
      <w:proofErr w:type="spellEnd"/>
      <w:r w:rsidRPr="7DC48A7B" w:rsidR="18EFB1AB">
        <w:rPr>
          <w:i w:val="1"/>
          <w:iCs w:val="1"/>
          <w:sz w:val="20"/>
          <w:szCs w:val="20"/>
        </w:rPr>
        <w:t xml:space="preserve"> for </w:t>
      </w:r>
      <w:proofErr w:type="spellStart"/>
      <w:r w:rsidRPr="7DC48A7B" w:rsidR="18EFB1AB">
        <w:rPr>
          <w:i w:val="1"/>
          <w:iCs w:val="1"/>
          <w:sz w:val="20"/>
          <w:szCs w:val="20"/>
        </w:rPr>
        <w:t>miscellaneous</w:t>
      </w:r>
      <w:proofErr w:type="spellEnd"/>
      <w:r w:rsidRPr="7DC48A7B" w:rsidR="18EFB1AB">
        <w:rPr>
          <w:i w:val="1"/>
          <w:iCs w:val="1"/>
          <w:sz w:val="20"/>
          <w:szCs w:val="20"/>
        </w:rPr>
        <w:t xml:space="preserve"> </w:t>
      </w:r>
      <w:proofErr w:type="spellStart"/>
      <w:r w:rsidRPr="7DC48A7B" w:rsidR="18EFB1AB">
        <w:rPr>
          <w:i w:val="1"/>
          <w:iCs w:val="1"/>
          <w:sz w:val="20"/>
          <w:szCs w:val="20"/>
        </w:rPr>
        <w:t>topics</w:t>
      </w:r>
      <w:proofErr w:type="spellEnd"/>
      <w:r w:rsidRPr="7DC48A7B" w:rsidR="18EFB1AB">
        <w:rPr>
          <w:i w:val="1"/>
          <w:iCs w:val="1"/>
          <w:sz w:val="20"/>
          <w:szCs w:val="20"/>
        </w:rPr>
        <w:t xml:space="preserve">”, </w:t>
      </w:r>
      <w:r w:rsidRPr="7DC48A7B" w:rsidR="18EFB1AB">
        <w:rPr>
          <w:sz w:val="20"/>
          <w:szCs w:val="20"/>
        </w:rPr>
        <w:t>Nokia, Nokia Shanghai Bell</w:t>
      </w:r>
    </w:p>
    <w:p w:rsidR="000C5B5B" w:rsidRDefault="000C5B5B" w14:paraId="48CBFBDF" w14:textId="560D1473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0131D1"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5F8F" w:rsidRDefault="00A35F8F" w14:paraId="1765052E" w14:textId="77777777">
      <w:r>
        <w:separator/>
      </w:r>
    </w:p>
  </w:endnote>
  <w:endnote w:type="continuationSeparator" w:id="0">
    <w:p w:rsidR="00A35F8F" w:rsidRDefault="00A35F8F" w14:paraId="08316333" w14:textId="77777777">
      <w:r>
        <w:continuationSeparator/>
      </w:r>
    </w:p>
  </w:endnote>
  <w:endnote w:type="continuationNotice" w:id="1">
    <w:p w:rsidR="007F27C7" w:rsidRDefault="007F27C7" w14:paraId="37D4B13E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5F8F" w:rsidRDefault="00A35F8F" w14:paraId="52BA91F4" w14:textId="77777777">
      <w:r>
        <w:separator/>
      </w:r>
    </w:p>
  </w:footnote>
  <w:footnote w:type="continuationSeparator" w:id="0">
    <w:p w:rsidR="00A35F8F" w:rsidRDefault="00A35F8F" w14:paraId="354E7937" w14:textId="77777777">
      <w:r>
        <w:continuationSeparator/>
      </w:r>
    </w:p>
  </w:footnote>
  <w:footnote w:type="continuationNotice" w:id="1">
    <w:p w:rsidR="007F27C7" w:rsidRDefault="007F27C7" w14:paraId="220F7E89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hint="eastAsia" w:ascii="Arial Unicode MS" w:hAnsi="Arial Unicode MS" w:eastAsia="Arial Unicode MS" w:cs="Times New Roman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hint="eastAsia" w:ascii="Arial Unicode MS" w:hAnsi="Arial Unicode MS" w:eastAsia="Arial Unicode MS" w:cs="Times New Roman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hint="eastAsia" w:ascii="Arial Unicode MS" w:hAnsi="Arial Unicode MS" w:eastAsia="Arial Unicode MS" w:cs="Times New Roman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hint="eastAsia" w:ascii="Arial Unicode MS" w:hAnsi="Arial Unicode MS" w:eastAsia="Arial Unicode MS" w:cs="Times New Roman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hint="default" w:ascii="Wingdings" w:hAnsi="Wingdings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3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hint="default" w:ascii="Wingdings" w:hAnsi="Wingdings"/>
      </w:rPr>
    </w:lvl>
  </w:abstractNum>
  <w:abstractNum w:abstractNumId="26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hint="default" w:ascii="Arial" w:hAnsi="Arial" w:cs="Times New Roman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 w:cs="Courier New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hint="default" w:ascii="Courier New" w:hAnsi="Courier New" w:cs="Courier New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hint="default" w:ascii="Arial" w:hAnsi="Arial" w:cs="Times New Roman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hint="default" w:ascii="Arial" w:hAnsi="Arial" w:cs="Times New Roman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hint="default" w:ascii="Arial" w:hAnsi="Arial" w:cs="Times New Roman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hint="default" w:ascii="Arial" w:hAnsi="Arial" w:cs="Times New Roman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hint="default" w:ascii="Arial" w:hAnsi="Arial" w:cs="Times New Roman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hint="default" w:ascii="Arial" w:hAnsi="Arial" w:cs="Times New Roman"/>
      </w:rPr>
    </w:lvl>
  </w:abstractNum>
  <w:num w:numId="1">
    <w:abstractNumId w:val="6"/>
  </w:num>
  <w:num w:numId="2">
    <w:abstractNumId w:val="24"/>
  </w:num>
  <w:num w:numId="3">
    <w:abstractNumId w:val="0"/>
  </w:num>
  <w:num w:numId="4">
    <w:abstractNumId w:val="2"/>
  </w:num>
  <w:num w:numId="5">
    <w:abstractNumId w:val="14"/>
  </w:num>
  <w:num w:numId="6">
    <w:abstractNumId w:val="25"/>
  </w:num>
  <w:num w:numId="7">
    <w:abstractNumId w:val="16"/>
  </w:num>
  <w:num w:numId="8">
    <w:abstractNumId w:val="13"/>
  </w:num>
  <w:num w:numId="9">
    <w:abstractNumId w:val="29"/>
  </w:num>
  <w:num w:numId="10">
    <w:abstractNumId w:val="4"/>
  </w:num>
  <w:num w:numId="11">
    <w:abstractNumId w:val="18"/>
  </w:num>
  <w:num w:numId="12">
    <w:abstractNumId w:val="3"/>
  </w:num>
  <w:num w:numId="13">
    <w:abstractNumId w:val="10"/>
  </w:num>
  <w:num w:numId="14">
    <w:abstractNumId w:val="22"/>
  </w:num>
  <w:num w:numId="15">
    <w:abstractNumId w:val="15"/>
  </w:num>
  <w:num w:numId="16">
    <w:abstractNumId w:val="1"/>
  </w:num>
  <w:num w:numId="17">
    <w:abstractNumId w:val="20"/>
  </w:num>
  <w:num w:numId="18">
    <w:abstractNumId w:val="12"/>
  </w:num>
  <w:num w:numId="19">
    <w:abstractNumId w:val="17"/>
  </w:num>
  <w:num w:numId="20">
    <w:abstractNumId w:val="28"/>
  </w:num>
  <w:num w:numId="21">
    <w:abstractNumId w:val="30"/>
  </w:num>
  <w:num w:numId="22">
    <w:abstractNumId w:val="19"/>
  </w:num>
  <w:num w:numId="23">
    <w:abstractNumId w:val="9"/>
  </w:num>
  <w:num w:numId="24">
    <w:abstractNumId w:val="5"/>
  </w:num>
  <w:num w:numId="25">
    <w:abstractNumId w:val="26"/>
  </w:num>
  <w:num w:numId="26">
    <w:abstractNumId w:val="23"/>
  </w:num>
  <w:num w:numId="27">
    <w:abstractNumId w:val="8"/>
  </w:num>
  <w:num w:numId="28">
    <w:abstractNumId w:val="7"/>
  </w:num>
  <w:num w:numId="29">
    <w:abstractNumId w:val="21"/>
  </w:num>
  <w:num w:numId="30">
    <w:abstractNumId w:val="27"/>
  </w:num>
  <w:num w:numId="31">
    <w:abstractNumId w:val="11"/>
  </w:num>
  <w:num w:numId="32">
    <w:abstractNumId w:val="27"/>
  </w:num>
  <w:num w:numId="3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activeWritingStyle w:lang="en-GB" w:vendorID="64" w:dllVersion="0" w:nlCheck="1" w:checkStyle="0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2B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94F"/>
    <w:rsid w:val="00054B05"/>
    <w:rsid w:val="00054D9D"/>
    <w:rsid w:val="00055676"/>
    <w:rsid w:val="00056544"/>
    <w:rsid w:val="00056BDE"/>
    <w:rsid w:val="000607FF"/>
    <w:rsid w:val="00060D8E"/>
    <w:rsid w:val="00062159"/>
    <w:rsid w:val="00063D9E"/>
    <w:rsid w:val="00064AD3"/>
    <w:rsid w:val="00065088"/>
    <w:rsid w:val="000652D3"/>
    <w:rsid w:val="000654A0"/>
    <w:rsid w:val="000658F4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481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3E90"/>
    <w:rsid w:val="000F4595"/>
    <w:rsid w:val="000F4CB2"/>
    <w:rsid w:val="000F4D35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1C85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3A4F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573B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5E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5B34"/>
    <w:rsid w:val="001C66AC"/>
    <w:rsid w:val="001C6754"/>
    <w:rsid w:val="001C77F0"/>
    <w:rsid w:val="001D30C9"/>
    <w:rsid w:val="001D3DD2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259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15F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5CED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0603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3A29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60C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1409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7A9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580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06B99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4DC2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0C3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021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C75"/>
    <w:rsid w:val="00570D9F"/>
    <w:rsid w:val="0057185C"/>
    <w:rsid w:val="00571CA8"/>
    <w:rsid w:val="00572947"/>
    <w:rsid w:val="00572950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94B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576F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679F"/>
    <w:rsid w:val="005E7088"/>
    <w:rsid w:val="005E7E1B"/>
    <w:rsid w:val="005F0108"/>
    <w:rsid w:val="005F0291"/>
    <w:rsid w:val="005F0ECC"/>
    <w:rsid w:val="005F140A"/>
    <w:rsid w:val="005F21A5"/>
    <w:rsid w:val="005F2470"/>
    <w:rsid w:val="005F28C6"/>
    <w:rsid w:val="005F35CA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66F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0C1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5F71"/>
    <w:rsid w:val="00646305"/>
    <w:rsid w:val="00646864"/>
    <w:rsid w:val="00646A6C"/>
    <w:rsid w:val="006475E6"/>
    <w:rsid w:val="006478E1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2D5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3C0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C7296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414D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695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106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3159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5CF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53E1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401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486"/>
    <w:rsid w:val="007E1782"/>
    <w:rsid w:val="007E25AB"/>
    <w:rsid w:val="007E2F41"/>
    <w:rsid w:val="007E44FC"/>
    <w:rsid w:val="007E5AC2"/>
    <w:rsid w:val="007E79C5"/>
    <w:rsid w:val="007F0798"/>
    <w:rsid w:val="007F27C7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279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778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D63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1F7"/>
    <w:rsid w:val="008B2257"/>
    <w:rsid w:val="008B2436"/>
    <w:rsid w:val="008B2479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0B7F"/>
    <w:rsid w:val="0093123D"/>
    <w:rsid w:val="00933040"/>
    <w:rsid w:val="009330E9"/>
    <w:rsid w:val="00934D97"/>
    <w:rsid w:val="00935D15"/>
    <w:rsid w:val="0093664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2673"/>
    <w:rsid w:val="009633BB"/>
    <w:rsid w:val="00963A36"/>
    <w:rsid w:val="009643DA"/>
    <w:rsid w:val="0096485F"/>
    <w:rsid w:val="00965624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3DEF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1F9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E66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E52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DFD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B2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401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57248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C8D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6EF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9AC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7E1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5DED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3E0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6DBA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A0C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2F2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719"/>
    <w:rsid w:val="00D94D87"/>
    <w:rsid w:val="00D95B31"/>
    <w:rsid w:val="00D95DCC"/>
    <w:rsid w:val="00D962DC"/>
    <w:rsid w:val="00DA180C"/>
    <w:rsid w:val="00DA18A2"/>
    <w:rsid w:val="00DA2CE7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FD8"/>
    <w:rsid w:val="00DC2754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4705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1D37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4776"/>
    <w:rsid w:val="00F15193"/>
    <w:rsid w:val="00F16739"/>
    <w:rsid w:val="00F16DE2"/>
    <w:rsid w:val="00F2052B"/>
    <w:rsid w:val="00F22183"/>
    <w:rsid w:val="00F2260F"/>
    <w:rsid w:val="00F226D4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7122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027"/>
    <w:rsid w:val="00FF3B7F"/>
    <w:rsid w:val="00FF4F92"/>
    <w:rsid w:val="00FF54EB"/>
    <w:rsid w:val="00FF6822"/>
    <w:rsid w:val="00FF73D0"/>
    <w:rsid w:val="04269A2E"/>
    <w:rsid w:val="06456801"/>
    <w:rsid w:val="066CD639"/>
    <w:rsid w:val="0D813072"/>
    <w:rsid w:val="10E807B4"/>
    <w:rsid w:val="14073C73"/>
    <w:rsid w:val="141204DA"/>
    <w:rsid w:val="16512788"/>
    <w:rsid w:val="18EFB1AB"/>
    <w:rsid w:val="199198F6"/>
    <w:rsid w:val="1A219784"/>
    <w:rsid w:val="21948B7F"/>
    <w:rsid w:val="223CCB38"/>
    <w:rsid w:val="24869DDA"/>
    <w:rsid w:val="25083905"/>
    <w:rsid w:val="26A56BAD"/>
    <w:rsid w:val="2778B035"/>
    <w:rsid w:val="27E57A1C"/>
    <w:rsid w:val="32975CEE"/>
    <w:rsid w:val="3505FF41"/>
    <w:rsid w:val="37E806E0"/>
    <w:rsid w:val="3CE3AEFD"/>
    <w:rsid w:val="3E61DC49"/>
    <w:rsid w:val="42BB2145"/>
    <w:rsid w:val="44E6A186"/>
    <w:rsid w:val="50037962"/>
    <w:rsid w:val="505522BF"/>
    <w:rsid w:val="5347351A"/>
    <w:rsid w:val="5EC09931"/>
    <w:rsid w:val="5F0BB643"/>
    <w:rsid w:val="660D374C"/>
    <w:rsid w:val="68F5C910"/>
    <w:rsid w:val="6CCBD253"/>
    <w:rsid w:val="703BAA16"/>
    <w:rsid w:val="75C60699"/>
    <w:rsid w:val="78096FCE"/>
    <w:rsid w:val="783E9C9F"/>
    <w:rsid w:val="7DC48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hAnsi="CG Times (WN)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styleId="ZT" w:customStyle="1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styleId="ZH" w:customStyle="1">
    <w:name w:val="ZH"/>
    <w:rsid w:val="005831DD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5831DD"/>
    <w:rPr>
      <w:b/>
    </w:rPr>
  </w:style>
  <w:style w:type="paragraph" w:styleId="TAC" w:customStyle="1">
    <w:name w:val="TAC"/>
    <w:basedOn w:val="TAL"/>
    <w:link w:val="TACChar"/>
    <w:rsid w:val="005831DD"/>
    <w:pPr>
      <w:jc w:val="center"/>
    </w:pPr>
  </w:style>
  <w:style w:type="paragraph" w:styleId="TAL" w:customStyle="1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rsid w:val="005831DD"/>
    <w:pPr>
      <w:keepNext w:val="0"/>
      <w:spacing w:before="0" w:after="240"/>
    </w:pPr>
  </w:style>
  <w:style w:type="paragraph" w:styleId="TH" w:customStyle="1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styleId="EX" w:customStyle="1">
    <w:name w:val="EX"/>
    <w:basedOn w:val="Normal"/>
    <w:rsid w:val="005831DD"/>
    <w:pPr>
      <w:keepLines/>
      <w:ind w:left="1702" w:hanging="1418"/>
    </w:pPr>
  </w:style>
  <w:style w:type="paragraph" w:styleId="FP" w:customStyle="1">
    <w:name w:val="FP"/>
    <w:basedOn w:val="Normal"/>
    <w:rsid w:val="005831DD"/>
    <w:pPr>
      <w:spacing w:after="0"/>
    </w:pPr>
  </w:style>
  <w:style w:type="paragraph" w:styleId="LD" w:customStyle="1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NW" w:customStyle="1">
    <w:name w:val="NW"/>
    <w:basedOn w:val="NO"/>
    <w:rsid w:val="005831DD"/>
    <w:pPr>
      <w:spacing w:after="0"/>
    </w:pPr>
  </w:style>
  <w:style w:type="paragraph" w:styleId="EW" w:customStyle="1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styleId="EQ" w:customStyle="1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AR" w:customStyle="1">
    <w:name w:val="TAR"/>
    <w:basedOn w:val="TAL"/>
    <w:rsid w:val="005831DD"/>
    <w:pPr>
      <w:jc w:val="right"/>
    </w:pPr>
  </w:style>
  <w:style w:type="paragraph" w:styleId="TAN" w:customStyle="1">
    <w:name w:val="TAN"/>
    <w:basedOn w:val="TAL"/>
    <w:rsid w:val="005831DD"/>
    <w:pPr>
      <w:ind w:left="851" w:hanging="851"/>
    </w:pPr>
  </w:style>
  <w:style w:type="paragraph" w:styleId="ZA" w:customStyle="1">
    <w:name w:val="ZA"/>
    <w:rsid w:val="005831D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5831DD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5831DD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5831DD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5831DD"/>
    <w:pPr>
      <w:framePr w:wrap="notBeside" w:y="16161"/>
    </w:pPr>
  </w:style>
  <w:style w:type="character" w:styleId="ZGSM" w:customStyle="1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styleId="ZG" w:customStyle="1">
    <w:name w:val="ZG"/>
    <w:rsid w:val="005831DD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styleId="EditorsNote" w:customStyle="1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styleId="B1" w:customStyle="1">
    <w:name w:val="B1"/>
    <w:basedOn w:val="List"/>
    <w:link w:val="B1Char"/>
    <w:rsid w:val="005831DD"/>
  </w:style>
  <w:style w:type="paragraph" w:styleId="B2" w:customStyle="1">
    <w:name w:val="B2"/>
    <w:basedOn w:val="List2"/>
    <w:rsid w:val="005831DD"/>
  </w:style>
  <w:style w:type="paragraph" w:styleId="B3" w:customStyle="1">
    <w:name w:val="B3"/>
    <w:basedOn w:val="List3"/>
    <w:rsid w:val="005831DD"/>
  </w:style>
  <w:style w:type="paragraph" w:styleId="B4" w:customStyle="1">
    <w:name w:val="B4"/>
    <w:basedOn w:val="List4"/>
    <w:rsid w:val="005831DD"/>
  </w:style>
  <w:style w:type="paragraph" w:styleId="B5" w:customStyle="1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styleId="ZTD" w:customStyle="1">
    <w:name w:val="ZTD"/>
    <w:basedOn w:val="ZB"/>
    <w:rsid w:val="005831D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5831DD"/>
    <w:pPr>
      <w:spacing w:after="120"/>
    </w:pPr>
    <w:rPr>
      <w:rFonts w:ascii="Arial" w:hAnsi="Arial" w:eastAsia="MS Mincho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styleId="11BodyText" w:customStyle="1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styleId="B6" w:customStyle="1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styleId="Doc-text2Char" w:customStyle="1">
    <w:name w:val="Doc-text2 Char"/>
    <w:link w:val="Doc-text2"/>
    <w:rsid w:val="005831DD"/>
    <w:rPr>
      <w:rFonts w:ascii="Arial" w:hAnsi="Arial" w:eastAsia="MS Mincho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styleId="FootnoteTextChar" w:customStyle="1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styleId="owapara" w:customStyle="1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styleId="BodyTextChar" w:customStyle="1">
    <w:name w:val="Body Text Char"/>
    <w:link w:val="BodyText"/>
    <w:rsid w:val="00C72E18"/>
    <w:rPr>
      <w:rFonts w:ascii="Times New Roman" w:hAnsi="Times New Roman"/>
      <w:lang w:val="en-GB"/>
    </w:rPr>
  </w:style>
  <w:style w:type="character" w:styleId="CommentTextChar" w:customStyle="1">
    <w:name w:val="Comment Text Char"/>
    <w:link w:val="CommentText"/>
    <w:semiHidden/>
    <w:rsid w:val="004241C5"/>
    <w:rPr>
      <w:rFonts w:ascii="Times New Roman" w:hAnsi="Times New Roman" w:eastAsia="MS Mincho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GTdoc" w:customStyle="1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B1Char" w:customStyle="1">
    <w:name w:val="B1 Char"/>
    <w:link w:val="B1"/>
    <w:locked/>
    <w:rsid w:val="00327163"/>
    <w:rPr>
      <w:rFonts w:ascii="Times New Roman" w:hAnsi="Times New Roman"/>
      <w:lang w:val="en-GB"/>
    </w:rPr>
  </w:style>
  <w:style w:type="character" w:styleId="ListParagraphChar" w:customStyle="1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styleId="HeaderChar" w:customStyle="1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styleId="Heading1Char" w:customStyle="1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styleId="Heading2Char" w:customStyle="1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B1Zchn" w:customStyle="1">
    <w:name w:val="B1 Zchn"/>
    <w:rsid w:val="009F102A"/>
    <w:rPr>
      <w:lang w:eastAsia="en-US"/>
    </w:rPr>
  </w:style>
  <w:style w:type="character" w:styleId="THChar" w:customStyle="1">
    <w:name w:val="TH Char"/>
    <w:link w:val="TH"/>
    <w:rsid w:val="009F102A"/>
    <w:rPr>
      <w:rFonts w:ascii="Arial" w:hAnsi="Arial"/>
      <w:b/>
      <w:lang w:val="en-GB"/>
    </w:rPr>
  </w:style>
  <w:style w:type="character" w:styleId="TACChar" w:customStyle="1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styleId="TAHCar" w:customStyle="1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hAnsi="Arial" w:eastAsia="Times New Roman"/>
      <w:sz w:val="22"/>
      <w:lang w:val="en-GB"/>
    </w:rPr>
  </w:style>
  <w:style w:type="paragraph" w:styleId="item" w:customStyle="1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styleId="TableGrid7" w:customStyle="1">
    <w:name w:val="Table Grid7"/>
    <w:basedOn w:val="TableNormal"/>
    <w:next w:val="TableGrid"/>
    <w:uiPriority w:val="39"/>
    <w:qFormat/>
    <w:rsid w:val="000C5B5B"/>
    <w:rPr>
      <w:rFonts w:ascii="Times New Roman" w:hAnsi="Times New Roman" w:eastAsia="Batang"/>
      <w:lang w:val="en-GB" w:eastAsia="en-GB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AN1bullet1" w:customStyle="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hAnsi="Times" w:eastAsia="Batang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D67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image" Target="media/image1.png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fontTable" Target="fontTab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5AIRPNAIUNRU-1830940522-16571</_dlc_DocId>
    <_dlc_DocIdUrl xmlns="71c5aaf6-e6ce-465b-b873-5148d2a4c105">
      <Url>https://nokia.sharepoint.com/sites/c5g/5gradio/_layouts/15/DocIdRedir.aspx?ID=5AIRPNAIUNRU-1830940522-16571</Url>
      <Description>5AIRPNAIUNRU-1830940522-16571</Description>
    </_dlc_DocIdUrl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ebabf6ce-2443-438c-9946-ecc878e7654a"/>
    <ds:schemaRef ds:uri="95d2e41d-1f11-4347-bb1c-11d6a32975dd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 TDoc</ap:Template>
  <ap:Application>Microsoft Word for the web</ap:Application>
  <ap:DocSecurity>0</ap:DocSecurity>
  <ap:ScaleCrop>false</ap:ScaleCrop>
  <ap:Company>Nokia &amp; NSN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Contribution</dc:title>
  <dc:subject/>
  <dc:creator>Nokia Networks</dc:creator>
  <keywords/>
  <dc:description/>
  <lastModifiedBy>Tiirola, Esa (Nokia - FI/Oulu)</lastModifiedBy>
  <revision>3</revision>
  <lastPrinted>2016-06-20T11:35:00.0000000Z</lastPrinted>
  <dcterms:created xsi:type="dcterms:W3CDTF">2022-08-12T04:31:00.0000000Z</dcterms:created>
  <dcterms:modified xsi:type="dcterms:W3CDTF">2022-08-12T10:34:07.5008010Z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05f09b93-b9f8-46e6-8fe8-080c5a59cacc</vt:lpwstr>
  </property>
</Properties>
</file>